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FEEFF" w14:textId="77777777" w:rsidR="00714BFF" w:rsidRDefault="00714BFF" w:rsidP="00714BFF">
      <w:pPr>
        <w:spacing w:after="0" w:line="360" w:lineRule="auto"/>
        <w:contextualSpacing/>
      </w:pPr>
      <w:r>
        <w:t>Name</w:t>
      </w:r>
    </w:p>
    <w:p w14:paraId="048B2580" w14:textId="77777777" w:rsidR="00714BFF" w:rsidRDefault="00714BFF" w:rsidP="00714BFF">
      <w:pPr>
        <w:spacing w:after="0" w:line="360" w:lineRule="auto"/>
        <w:contextualSpacing/>
      </w:pPr>
      <w:r>
        <w:t>ID</w:t>
      </w:r>
    </w:p>
    <w:p w14:paraId="464D1443" w14:textId="77777777" w:rsidR="00714BFF" w:rsidRDefault="00714BFF" w:rsidP="00714BFF">
      <w:pPr>
        <w:spacing w:after="0" w:line="360" w:lineRule="auto"/>
        <w:contextualSpacing/>
      </w:pPr>
      <w:r>
        <w:t>Course code</w:t>
      </w:r>
    </w:p>
    <w:p w14:paraId="10E55B27" w14:textId="160F226A" w:rsidR="00F07243" w:rsidRDefault="007F0D0E" w:rsidP="00714BFF">
      <w:pPr>
        <w:spacing w:after="0" w:line="360" w:lineRule="auto"/>
        <w:contextualSpacing/>
      </w:pPr>
      <w:r w:rsidRPr="007F0D0E">
        <w:t>Section</w:t>
      </w:r>
      <w:bookmarkStart w:id="0" w:name="_GoBack"/>
      <w:bookmarkEnd w:id="0"/>
    </w:p>
    <w:p w14:paraId="0FA96FA3" w14:textId="47E7BFCE" w:rsidR="00F07243" w:rsidRPr="00F130D3" w:rsidRDefault="00C21A35" w:rsidP="00714BFF">
      <w:pPr>
        <w:spacing w:after="0" w:line="360" w:lineRule="auto"/>
        <w:contextualSpacing/>
        <w:jc w:val="center"/>
        <w:rPr>
          <w:b/>
          <w:bCs/>
          <w:sz w:val="28"/>
          <w:szCs w:val="28"/>
          <w:u w:val="single"/>
        </w:rPr>
      </w:pPr>
      <w:r w:rsidRPr="00F130D3">
        <w:rPr>
          <w:b/>
          <w:bCs/>
          <w:sz w:val="28"/>
          <w:szCs w:val="28"/>
          <w:u w:val="single"/>
        </w:rPr>
        <w:t xml:space="preserve">IRAC </w:t>
      </w:r>
      <w:r w:rsidR="003272F7" w:rsidRPr="00F130D3">
        <w:rPr>
          <w:b/>
          <w:bCs/>
          <w:sz w:val="28"/>
          <w:szCs w:val="28"/>
          <w:u w:val="single"/>
        </w:rPr>
        <w:t>A</w:t>
      </w:r>
      <w:r w:rsidRPr="00F130D3">
        <w:rPr>
          <w:b/>
          <w:bCs/>
          <w:sz w:val="28"/>
          <w:szCs w:val="28"/>
          <w:u w:val="single"/>
        </w:rPr>
        <w:t>nalysis</w:t>
      </w:r>
    </w:p>
    <w:p w14:paraId="0C77E9DF" w14:textId="17C9C349" w:rsidR="00F07243" w:rsidRPr="00263FE6" w:rsidRDefault="00C21A35" w:rsidP="007F0D0E">
      <w:pPr>
        <w:spacing w:after="0" w:line="360" w:lineRule="auto"/>
        <w:contextualSpacing/>
        <w:rPr>
          <w:b/>
          <w:bCs/>
        </w:rPr>
      </w:pPr>
      <w:r w:rsidRPr="00263FE6">
        <w:rPr>
          <w:b/>
          <w:bCs/>
        </w:rPr>
        <w:t>Issue</w:t>
      </w:r>
    </w:p>
    <w:p w14:paraId="5EC9D9AD" w14:textId="1595D5A8" w:rsidR="000142FA" w:rsidRDefault="00C21A35" w:rsidP="007F0D0E">
      <w:pPr>
        <w:spacing w:after="0" w:line="360" w:lineRule="auto"/>
        <w:contextualSpacing/>
      </w:pPr>
      <w:r>
        <w:tab/>
        <w:t>In the case study, the main point is discussed three ladies of Britain and American nationalit</w:t>
      </w:r>
      <w:r w:rsidR="00A359CC">
        <w:t>ies</w:t>
      </w:r>
      <w:r>
        <w:t>. These ladies want</w:t>
      </w:r>
      <w:r w:rsidR="00A359CC">
        <w:t>ed</w:t>
      </w:r>
      <w:r>
        <w:t xml:space="preserve"> to rent an apartment in Saudi Arabia, and they had to sign a contract. Patricia changed her mind concerning renting the apartment together with the two ladies as a result of company-related issues. Sandra and Louise </w:t>
      </w:r>
      <w:r w:rsidR="00263FE6">
        <w:t>find</w:t>
      </w:r>
      <w:r>
        <w:t xml:space="preserve"> an apartment, and they agree with the current tenants to buy the </w:t>
      </w:r>
      <w:r w:rsidR="00263FE6">
        <w:t>furniture’s</w:t>
      </w:r>
      <w:r>
        <w:t xml:space="preserve"> and they sign a contract which is in Arabic; henc</w:t>
      </w:r>
      <w:r w:rsidR="00263FE6">
        <w:t>e</w:t>
      </w:r>
      <w:r>
        <w:t xml:space="preserve"> they do not understand the terms of the agreement. </w:t>
      </w:r>
    </w:p>
    <w:p w14:paraId="7DCEF9EE" w14:textId="1A9F95A2" w:rsidR="00AF5A57" w:rsidRDefault="00C21A35" w:rsidP="007F0D0E">
      <w:pPr>
        <w:spacing w:after="0" w:line="360" w:lineRule="auto"/>
        <w:ind w:firstLine="720"/>
        <w:contextualSpacing/>
      </w:pPr>
      <w:r>
        <w:t xml:space="preserve"> Sandra and Louise, however, </w:t>
      </w:r>
      <w:r w:rsidR="00263FE6">
        <w:t>fail</w:t>
      </w:r>
      <w:r>
        <w:t xml:space="preserve"> to manage to </w:t>
      </w:r>
      <w:r w:rsidR="00263FE6">
        <w:t>honor</w:t>
      </w:r>
      <w:r>
        <w:t xml:space="preserve"> the contract as agreed</w:t>
      </w:r>
      <w:r w:rsidR="000142FA">
        <w:t xml:space="preserve"> after their vacation. This aspect leads to the owner seeking legal intervention demanding payment of a full year as well as money for purchasing the</w:t>
      </w:r>
      <w:r w:rsidR="00263FE6">
        <w:t xml:space="preserve"> furniture</w:t>
      </w:r>
      <w:r w:rsidR="000142FA">
        <w:t xml:space="preserve"> which they had agreed. The case proceeds for two years, and the apartment already secured other tenants. Sandra is left alone in the case as </w:t>
      </w:r>
      <w:r w:rsidR="00263FE6">
        <w:t>Louise</w:t>
      </w:r>
      <w:r w:rsidR="000142FA">
        <w:t xml:space="preserve">'s information was not correctly filled in the contract. The critical question of the matter remains whether Sandra should pay as required by the owner of the </w:t>
      </w:r>
      <w:r w:rsidR="003272F7">
        <w:t>apartment (Liu</w:t>
      </w:r>
      <w:r w:rsidR="00263FE6">
        <w:t>, 2019). Additionally,</w:t>
      </w:r>
      <w:r w:rsidR="000142FA">
        <w:t xml:space="preserve"> the dilemma remains if whether Sandra should be charged individually as </w:t>
      </w:r>
      <w:r w:rsidR="00263FE6">
        <w:t>Louis'</w:t>
      </w:r>
      <w:r w:rsidR="000142FA">
        <w:t xml:space="preserve"> information was incorrectly filled, and they had</w:t>
      </w:r>
      <w:r>
        <w:t xml:space="preserve"> both signed the contract.</w:t>
      </w:r>
    </w:p>
    <w:p w14:paraId="1EBBB7EA" w14:textId="77777777" w:rsidR="00AF5A57" w:rsidRPr="00263FE6" w:rsidRDefault="00C21A35" w:rsidP="007F0D0E">
      <w:pPr>
        <w:spacing w:after="0" w:line="360" w:lineRule="auto"/>
        <w:contextualSpacing/>
        <w:rPr>
          <w:b/>
          <w:bCs/>
        </w:rPr>
      </w:pPr>
      <w:r w:rsidRPr="00263FE6">
        <w:rPr>
          <w:b/>
          <w:bCs/>
        </w:rPr>
        <w:t>Rule</w:t>
      </w:r>
    </w:p>
    <w:p w14:paraId="325577B3" w14:textId="19499C86" w:rsidR="00C83348" w:rsidRDefault="00C21A35" w:rsidP="007F0D0E">
      <w:pPr>
        <w:spacing w:after="0" w:line="360" w:lineRule="auto"/>
        <w:contextualSpacing/>
      </w:pPr>
      <w:r>
        <w:t xml:space="preserve"> </w:t>
      </w:r>
      <w:r w:rsidR="00A359CC">
        <w:tab/>
      </w:r>
      <w:r>
        <w:t xml:space="preserve">The two ladies did not clearly understand the rule for securing the contract. </w:t>
      </w:r>
      <w:r w:rsidR="00263FE6">
        <w:t>Firstly,</w:t>
      </w:r>
      <w:r>
        <w:t xml:space="preserve"> the </w:t>
      </w:r>
      <w:r w:rsidR="00263FE6">
        <w:t>terms</w:t>
      </w:r>
      <w:r>
        <w:t xml:space="preserve"> of the agreement were written in Arabic, where the two ladies could not </w:t>
      </w:r>
      <w:r w:rsidR="00263FE6">
        <w:t>understand</w:t>
      </w:r>
      <w:r>
        <w:t xml:space="preserve"> what was written in the deal. The rules outlined in the contract</w:t>
      </w:r>
      <w:r w:rsidR="00A359CC">
        <w:t xml:space="preserve"> entailed the moving in terms of the two ladies after vacation</w:t>
      </w:r>
      <w:r>
        <w:t xml:space="preserve">. Consequently, they were to purchase </w:t>
      </w:r>
      <w:r w:rsidR="00263FE6">
        <w:t>furniture’s</w:t>
      </w:r>
      <w:r>
        <w:t xml:space="preserve"> from current tenants of the apartment. </w:t>
      </w:r>
      <w:r w:rsidR="00263FE6">
        <w:t>Additionally,</w:t>
      </w:r>
      <w:r>
        <w:t xml:space="preserve"> Sandra was the primary contact in the contract, and </w:t>
      </w:r>
      <w:r w:rsidR="00263FE6">
        <w:t>the all-important</w:t>
      </w:r>
      <w:r>
        <w:t xml:space="preserve"> issue was to be directly addressed to her. The contract was neither translated nor </w:t>
      </w:r>
      <w:r w:rsidR="003272F7">
        <w:t>did an effort made in ensuring the two ladies understand</w:t>
      </w:r>
      <w:r>
        <w:t xml:space="preserve"> the terms</w:t>
      </w:r>
      <w:r w:rsidR="00263FE6">
        <w:t xml:space="preserve"> </w:t>
      </w:r>
      <w:r w:rsidR="00263FE6" w:rsidRPr="00263FE6">
        <w:t>(</w:t>
      </w:r>
      <w:r w:rsidR="00263FE6" w:rsidRPr="00263FE6">
        <w:rPr>
          <w:color w:val="222222"/>
          <w:shd w:val="clear" w:color="auto" w:fill="FFFFFF"/>
        </w:rPr>
        <w:t>Romano</w:t>
      </w:r>
      <w:r w:rsidR="00263FE6">
        <w:t>,</w:t>
      </w:r>
      <w:r w:rsidR="003272F7">
        <w:t xml:space="preserve"> </w:t>
      </w:r>
      <w:r w:rsidR="00263FE6">
        <w:t>2017)</w:t>
      </w:r>
      <w:r>
        <w:t xml:space="preserve">. These indicated a </w:t>
      </w:r>
      <w:r w:rsidR="00004329">
        <w:t>significant weakness</w:t>
      </w:r>
      <w:r>
        <w:t xml:space="preserve"> in the contrac</w:t>
      </w:r>
      <w:r w:rsidR="00004329">
        <w:t>t</w:t>
      </w:r>
      <w:r>
        <w:t>, and these may have been the cause of seeking legal action after the two ladies failed to meet the demands of the contract.</w:t>
      </w:r>
    </w:p>
    <w:p w14:paraId="2F79310E" w14:textId="1A3301B8" w:rsidR="00004329" w:rsidRPr="00263FE6" w:rsidRDefault="00C21A35" w:rsidP="007F0D0E">
      <w:pPr>
        <w:spacing w:after="0" w:line="360" w:lineRule="auto"/>
        <w:contextualSpacing/>
        <w:rPr>
          <w:b/>
          <w:bCs/>
        </w:rPr>
      </w:pPr>
      <w:r w:rsidRPr="00263FE6">
        <w:rPr>
          <w:b/>
          <w:bCs/>
        </w:rPr>
        <w:t>Analysis</w:t>
      </w:r>
    </w:p>
    <w:p w14:paraId="249352CD" w14:textId="16672B47" w:rsidR="00004329" w:rsidRDefault="00C21A35" w:rsidP="007F0D0E">
      <w:pPr>
        <w:spacing w:after="0" w:line="360" w:lineRule="auto"/>
        <w:ind w:firstLine="720"/>
        <w:contextualSpacing/>
      </w:pPr>
      <w:r>
        <w:lastRenderedPageBreak/>
        <w:t xml:space="preserve"> On many occasions, contracts are used to formalize the relationship between the two agreed parties. In the case study of Sandra and Louis, the agreement </w:t>
      </w:r>
      <w:r w:rsidR="00263FE6">
        <w:t>entitled</w:t>
      </w:r>
      <w:r>
        <w:t xml:space="preserve"> the terms under which the two ladies were to move in a new apartment and purchase </w:t>
      </w:r>
      <w:r w:rsidR="00263FE6">
        <w:t>furniture</w:t>
      </w:r>
      <w:r>
        <w:t xml:space="preserve"> from tenants. </w:t>
      </w:r>
      <w:r w:rsidR="00263FE6">
        <w:t>However,</w:t>
      </w:r>
      <w:r>
        <w:t xml:space="preserve"> an aspect of </w:t>
      </w:r>
      <w:r w:rsidR="00263FE6">
        <w:t>breaching</w:t>
      </w:r>
      <w:r>
        <w:t xml:space="preserve"> the contract </w:t>
      </w:r>
      <w:r w:rsidR="00263FE6">
        <w:t>occurred</w:t>
      </w:r>
      <w:r>
        <w:t xml:space="preserve"> where Sandra and Louis failed to </w:t>
      </w:r>
      <w:r w:rsidR="00263FE6">
        <w:t>honor</w:t>
      </w:r>
      <w:r>
        <w:t xml:space="preserve"> the contract. In </w:t>
      </w:r>
      <w:r w:rsidR="00263FE6">
        <w:t>this case,</w:t>
      </w:r>
      <w:r>
        <w:t xml:space="preserve"> legal action may not have proved to be efficient as they have offered to pay three months a period in which the owner of the apartment was to find other tenants. Contract terms can be reviewed by the two parties without seeking legal action, and this helps in reducing incurring case </w:t>
      </w:r>
      <w:r w:rsidR="00263FE6">
        <w:t>costs</w:t>
      </w:r>
      <w:r w:rsidR="00263FE6" w:rsidRPr="00263FE6">
        <w:t xml:space="preserve"> (</w:t>
      </w:r>
      <w:r w:rsidR="00263FE6" w:rsidRPr="00263FE6">
        <w:rPr>
          <w:color w:val="222222"/>
          <w:shd w:val="clear" w:color="auto" w:fill="FFFFFF"/>
        </w:rPr>
        <w:t>Gla</w:t>
      </w:r>
      <w:r w:rsidR="002F3ED5">
        <w:rPr>
          <w:color w:val="222222"/>
          <w:shd w:val="clear" w:color="auto" w:fill="FFFFFF"/>
        </w:rPr>
        <w:t>e</w:t>
      </w:r>
      <w:r w:rsidR="00263FE6" w:rsidRPr="00263FE6">
        <w:rPr>
          <w:color w:val="222222"/>
          <w:shd w:val="clear" w:color="auto" w:fill="FFFFFF"/>
        </w:rPr>
        <w:t>ser et al., 2016)</w:t>
      </w:r>
      <w:r w:rsidRPr="00263FE6">
        <w:t>.</w:t>
      </w:r>
      <w:r>
        <w:t xml:space="preserve"> </w:t>
      </w:r>
      <w:r w:rsidR="00263FE6">
        <w:t>Additionally,</w:t>
      </w:r>
      <w:r>
        <w:t xml:space="preserve"> Sandra was left alone to deal with the case </w:t>
      </w:r>
      <w:r w:rsidR="00263FE6">
        <w:t>charged</w:t>
      </w:r>
      <w:r>
        <w:t xml:space="preserve"> against them, leaving </w:t>
      </w:r>
      <w:r w:rsidR="00263FE6">
        <w:t>Louise</w:t>
      </w:r>
      <w:r>
        <w:t xml:space="preserve"> free without charges to answer. </w:t>
      </w:r>
      <w:r w:rsidR="00263FE6">
        <w:t>These aspects</w:t>
      </w:r>
      <w:r>
        <w:t xml:space="preserve"> </w:t>
      </w:r>
      <w:r w:rsidR="00263FE6">
        <w:t>prove</w:t>
      </w:r>
      <w:r>
        <w:t xml:space="preserve"> to be unfair for Sandra as they should both incur the cost of the allegations since they had all participated in signing the contract. </w:t>
      </w:r>
    </w:p>
    <w:p w14:paraId="0BFCB50F" w14:textId="215733E8" w:rsidR="00C43B4C" w:rsidRPr="00263FE6" w:rsidRDefault="00C21A35" w:rsidP="007F0D0E">
      <w:pPr>
        <w:spacing w:after="0" w:line="360" w:lineRule="auto"/>
        <w:contextualSpacing/>
        <w:rPr>
          <w:b/>
          <w:bCs/>
        </w:rPr>
      </w:pPr>
      <w:r w:rsidRPr="00263FE6">
        <w:rPr>
          <w:b/>
          <w:bCs/>
        </w:rPr>
        <w:t>Conclusion</w:t>
      </w:r>
    </w:p>
    <w:p w14:paraId="17A55FDC" w14:textId="7E7E9953" w:rsidR="00C43B4C" w:rsidRDefault="00C21A35" w:rsidP="007F0D0E">
      <w:pPr>
        <w:spacing w:after="0" w:line="360" w:lineRule="auto"/>
        <w:contextualSpacing/>
      </w:pPr>
      <w:r>
        <w:t xml:space="preserve"> </w:t>
      </w:r>
      <w:r w:rsidR="00A359CC">
        <w:tab/>
      </w:r>
      <w:r>
        <w:t xml:space="preserve">In the case of Sandra and Louis, the breach for the contract was fundamental since it was fact-based, and they had </w:t>
      </w:r>
      <w:r w:rsidR="00263FE6">
        <w:t>offered</w:t>
      </w:r>
      <w:r>
        <w:t xml:space="preserve"> to </w:t>
      </w:r>
      <w:r w:rsidR="00263FE6">
        <w:t>compensate</w:t>
      </w:r>
      <w:r>
        <w:t xml:space="preserve"> for any inconvenience they might have caused. The landlord also appears to take advantage of the terms of the contract, which were not apparent to the two ladies since, as the case was </w:t>
      </w:r>
      <w:r w:rsidR="00263FE6">
        <w:t>proceeding,</w:t>
      </w:r>
      <w:r>
        <w:t xml:space="preserve"> he acquired other tenants for his </w:t>
      </w:r>
      <w:r w:rsidR="00263FE6">
        <w:t>apartment</w:t>
      </w:r>
      <w:r>
        <w:t xml:space="preserve">. Although a contract is </w:t>
      </w:r>
      <w:r w:rsidR="00263FE6">
        <w:t>meant</w:t>
      </w:r>
      <w:r>
        <w:t xml:space="preserve"> to ensure that both parties stick to the agreement, some situations may arise, which may force both parties to later agree on terms that suit both parties. When signing a </w:t>
      </w:r>
      <w:r w:rsidR="00263FE6">
        <w:t>contract,</w:t>
      </w:r>
      <w:r>
        <w:t xml:space="preserve"> it is essential that both parties understand the terms and not to rush in signing the contract. </w:t>
      </w:r>
      <w:r w:rsidR="002F3ED5">
        <w:t>Additionally,</w:t>
      </w:r>
      <w:r>
        <w:t xml:space="preserve"> both parties should ensure that they fill co</w:t>
      </w:r>
      <w:r w:rsidR="00263FE6">
        <w:t>ntr</w:t>
      </w:r>
      <w:r w:rsidR="002F3ED5">
        <w:t>a</w:t>
      </w:r>
      <w:r>
        <w:t xml:space="preserve">ct details in the contract. For the case of Sandra and </w:t>
      </w:r>
      <w:r w:rsidR="002F3ED5">
        <w:t>Louise</w:t>
      </w:r>
      <w:r>
        <w:t>, these essential aspects of a deal were not keenly followed.</w:t>
      </w:r>
    </w:p>
    <w:p w14:paraId="4D9693A1" w14:textId="77777777" w:rsidR="00C43B4C" w:rsidRDefault="00C43B4C" w:rsidP="007F0D0E">
      <w:pPr>
        <w:spacing w:after="0" w:line="360" w:lineRule="auto"/>
        <w:contextualSpacing/>
      </w:pPr>
    </w:p>
    <w:p w14:paraId="36595137" w14:textId="77777777" w:rsidR="00C43B4C" w:rsidRDefault="00C43B4C" w:rsidP="007F0D0E">
      <w:pPr>
        <w:spacing w:after="0" w:line="360" w:lineRule="auto"/>
        <w:contextualSpacing/>
      </w:pPr>
    </w:p>
    <w:p w14:paraId="1F0D9F63" w14:textId="77777777" w:rsidR="00C43B4C" w:rsidRDefault="00C43B4C" w:rsidP="007F0D0E">
      <w:pPr>
        <w:spacing w:after="0" w:line="360" w:lineRule="auto"/>
        <w:contextualSpacing/>
      </w:pPr>
    </w:p>
    <w:p w14:paraId="1C837179" w14:textId="77777777" w:rsidR="00C43B4C" w:rsidRDefault="00C43B4C" w:rsidP="007F0D0E">
      <w:pPr>
        <w:spacing w:after="0" w:line="360" w:lineRule="auto"/>
        <w:contextualSpacing/>
      </w:pPr>
    </w:p>
    <w:p w14:paraId="49414373" w14:textId="77777777" w:rsidR="00C43B4C" w:rsidRDefault="00C43B4C" w:rsidP="007F0D0E">
      <w:pPr>
        <w:spacing w:after="0" w:line="360" w:lineRule="auto"/>
        <w:contextualSpacing/>
      </w:pPr>
    </w:p>
    <w:p w14:paraId="19DF525A" w14:textId="77777777" w:rsidR="00C43B4C" w:rsidRDefault="00C43B4C" w:rsidP="007F0D0E">
      <w:pPr>
        <w:spacing w:after="0" w:line="360" w:lineRule="auto"/>
        <w:contextualSpacing/>
      </w:pPr>
    </w:p>
    <w:p w14:paraId="36756630" w14:textId="77777777" w:rsidR="00C43B4C" w:rsidRDefault="00C43B4C" w:rsidP="007F0D0E">
      <w:pPr>
        <w:spacing w:after="0" w:line="360" w:lineRule="auto"/>
        <w:contextualSpacing/>
      </w:pPr>
    </w:p>
    <w:p w14:paraId="6E9E3D54" w14:textId="77777777" w:rsidR="00714BFF" w:rsidRDefault="00714BFF">
      <w:r>
        <w:br w:type="page"/>
      </w:r>
    </w:p>
    <w:p w14:paraId="7B3DA065" w14:textId="6ADB000F" w:rsidR="00C43B4C" w:rsidRDefault="00C21A35" w:rsidP="007F0D0E">
      <w:pPr>
        <w:spacing w:after="0" w:line="360" w:lineRule="auto"/>
        <w:contextualSpacing/>
        <w:jc w:val="center"/>
      </w:pPr>
      <w:r>
        <w:lastRenderedPageBreak/>
        <w:t>References</w:t>
      </w:r>
    </w:p>
    <w:p w14:paraId="36248AA6" w14:textId="77777777" w:rsidR="00263FE6" w:rsidRPr="00263FE6" w:rsidRDefault="00C21A35" w:rsidP="007F0D0E">
      <w:pPr>
        <w:spacing w:after="0" w:line="360" w:lineRule="auto"/>
        <w:ind w:left="720" w:hanging="720"/>
        <w:contextualSpacing/>
        <w:rPr>
          <w:color w:val="222222"/>
          <w:shd w:val="clear" w:color="auto" w:fill="FFFFFF"/>
        </w:rPr>
      </w:pPr>
      <w:r w:rsidRPr="00263FE6">
        <w:rPr>
          <w:color w:val="222222"/>
          <w:shd w:val="clear" w:color="auto" w:fill="FFFFFF"/>
        </w:rPr>
        <w:t>Glaeser, E. L., Ponzetto, G. A., &amp; Shleifer, A. (2016). </w:t>
      </w:r>
      <w:r w:rsidRPr="00263FE6">
        <w:rPr>
          <w:i/>
          <w:iCs/>
          <w:color w:val="222222"/>
          <w:shd w:val="clear" w:color="auto" w:fill="FFFFFF"/>
        </w:rPr>
        <w:t>Securing property rights</w:t>
      </w:r>
      <w:r w:rsidRPr="00263FE6">
        <w:rPr>
          <w:color w:val="222222"/>
          <w:shd w:val="clear" w:color="auto" w:fill="FFFFFF"/>
        </w:rPr>
        <w:t> (No. w22701). National Bureau of Economic Research.</w:t>
      </w:r>
    </w:p>
    <w:p w14:paraId="32E7D09B" w14:textId="77777777" w:rsidR="00263FE6" w:rsidRPr="00263FE6" w:rsidRDefault="00C21A35" w:rsidP="007F0D0E">
      <w:pPr>
        <w:spacing w:after="0" w:line="360" w:lineRule="auto"/>
        <w:ind w:left="720" w:hanging="720"/>
        <w:contextualSpacing/>
      </w:pPr>
      <w:r w:rsidRPr="00263FE6">
        <w:rPr>
          <w:color w:val="222222"/>
          <w:shd w:val="clear" w:color="auto" w:fill="FFFFFF"/>
        </w:rPr>
        <w:t>Liu, Q. (2019). Termination of contract for fundamental breach. In </w:t>
      </w:r>
      <w:r w:rsidRPr="00263FE6">
        <w:rPr>
          <w:i/>
          <w:iCs/>
          <w:color w:val="222222"/>
          <w:shd w:val="clear" w:color="auto" w:fill="FFFFFF"/>
        </w:rPr>
        <w:t>Research Handbook on Remedies in Private Law</w:t>
      </w:r>
      <w:r w:rsidRPr="00263FE6">
        <w:rPr>
          <w:color w:val="222222"/>
          <w:shd w:val="clear" w:color="auto" w:fill="FFFFFF"/>
        </w:rPr>
        <w:t>. Edward Elgar Publishing.</w:t>
      </w:r>
      <w:r w:rsidRPr="00263FE6">
        <w:t xml:space="preserve"> </w:t>
      </w:r>
    </w:p>
    <w:p w14:paraId="023A9D09" w14:textId="77777777" w:rsidR="00263FE6" w:rsidRPr="00263FE6" w:rsidRDefault="00C21A35" w:rsidP="007F0D0E">
      <w:pPr>
        <w:spacing w:after="0" w:line="360" w:lineRule="auto"/>
        <w:ind w:left="720" w:hanging="720"/>
        <w:contextualSpacing/>
        <w:rPr>
          <w:color w:val="222222"/>
          <w:shd w:val="clear" w:color="auto" w:fill="FFFFFF"/>
        </w:rPr>
      </w:pPr>
      <w:r w:rsidRPr="00263FE6">
        <w:rPr>
          <w:color w:val="222222"/>
          <w:shd w:val="clear" w:color="auto" w:fill="FFFFFF"/>
        </w:rPr>
        <w:t>Romano, M. (2017). Oil and Gas Law-Owning Liability without Ownership Rights: Harmonizing Property, Contract, and Oil and Gas Principles in Assignment of Surface Use Agreements; Pennaco Energy, Inc. v. Sorenson, 2016 WY 34, 371 P. 3d 120 (Wyo. 2016). </w:t>
      </w:r>
      <w:r w:rsidRPr="00263FE6">
        <w:rPr>
          <w:i/>
          <w:iCs/>
          <w:color w:val="222222"/>
          <w:shd w:val="clear" w:color="auto" w:fill="FFFFFF"/>
        </w:rPr>
        <w:t>Wyo. L. Rev.</w:t>
      </w:r>
      <w:r w:rsidRPr="00263FE6">
        <w:rPr>
          <w:color w:val="222222"/>
          <w:shd w:val="clear" w:color="auto" w:fill="FFFFFF"/>
        </w:rPr>
        <w:t>, </w:t>
      </w:r>
      <w:r w:rsidRPr="00263FE6">
        <w:rPr>
          <w:i/>
          <w:iCs/>
          <w:color w:val="222222"/>
          <w:shd w:val="clear" w:color="auto" w:fill="FFFFFF"/>
        </w:rPr>
        <w:t>17</w:t>
      </w:r>
      <w:r w:rsidRPr="00263FE6">
        <w:rPr>
          <w:color w:val="222222"/>
          <w:shd w:val="clear" w:color="auto" w:fill="FFFFFF"/>
        </w:rPr>
        <w:t>, 391.</w:t>
      </w:r>
    </w:p>
    <w:p w14:paraId="301128A1" w14:textId="1D50652F" w:rsidR="00F07243" w:rsidRPr="00263FE6" w:rsidRDefault="00C21A35" w:rsidP="007F0D0E">
      <w:pPr>
        <w:spacing w:after="0" w:line="360" w:lineRule="auto"/>
        <w:contextualSpacing/>
      </w:pPr>
      <w:r w:rsidRPr="00263FE6">
        <w:tab/>
      </w:r>
    </w:p>
    <w:p w14:paraId="3769CB62" w14:textId="77777777" w:rsidR="00F07243" w:rsidRPr="00263FE6" w:rsidRDefault="00F07243" w:rsidP="007F0D0E">
      <w:pPr>
        <w:spacing w:after="0" w:line="360" w:lineRule="auto"/>
        <w:contextualSpacing/>
      </w:pPr>
    </w:p>
    <w:p w14:paraId="67E4C8BC" w14:textId="77777777" w:rsidR="00F07243" w:rsidRDefault="00F07243" w:rsidP="007F0D0E">
      <w:pPr>
        <w:spacing w:after="0" w:line="360" w:lineRule="auto"/>
        <w:contextualSpacing/>
      </w:pPr>
    </w:p>
    <w:sectPr w:rsidR="00F07243" w:rsidSect="00F072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348B8" w14:textId="77777777" w:rsidR="000C2E6B" w:rsidRDefault="000C2E6B">
      <w:pPr>
        <w:spacing w:after="0" w:line="240" w:lineRule="auto"/>
      </w:pPr>
      <w:r>
        <w:separator/>
      </w:r>
    </w:p>
  </w:endnote>
  <w:endnote w:type="continuationSeparator" w:id="0">
    <w:p w14:paraId="538A8DD7" w14:textId="77777777" w:rsidR="000C2E6B" w:rsidRDefault="000C2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28E1CE" w14:textId="77777777" w:rsidR="000C2E6B" w:rsidRDefault="000C2E6B">
      <w:pPr>
        <w:spacing w:after="0" w:line="240" w:lineRule="auto"/>
      </w:pPr>
      <w:r>
        <w:separator/>
      </w:r>
    </w:p>
  </w:footnote>
  <w:footnote w:type="continuationSeparator" w:id="0">
    <w:p w14:paraId="53DA0137" w14:textId="77777777" w:rsidR="000C2E6B" w:rsidRDefault="000C2E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801DF" w14:textId="1E90D557" w:rsidR="00F07243" w:rsidRDefault="00714BFF">
    <w:pPr>
      <w:pStyle w:val="Header"/>
      <w:jc w:val="right"/>
    </w:pPr>
    <w:r>
      <w:t xml:space="preserve">Surname </w:t>
    </w:r>
    <w:sdt>
      <w:sdtPr>
        <w:id w:val="-1296677791"/>
        <w:docPartObj>
          <w:docPartGallery w:val="Page Numbers (Top of Page)"/>
          <w:docPartUnique/>
        </w:docPartObj>
      </w:sdtPr>
      <w:sdtEndPr>
        <w:rPr>
          <w:noProof/>
        </w:rPr>
      </w:sdtEndPr>
      <w:sdtContent>
        <w:r w:rsidR="00C21A35">
          <w:fldChar w:fldCharType="begin"/>
        </w:r>
        <w:r w:rsidR="00C21A35">
          <w:instrText xml:space="preserve"> PAGE   \* MERGEFORMAT </w:instrText>
        </w:r>
        <w:r w:rsidR="00C21A35">
          <w:fldChar w:fldCharType="separate"/>
        </w:r>
        <w:r>
          <w:rPr>
            <w:noProof/>
          </w:rPr>
          <w:t>2</w:t>
        </w:r>
        <w:r w:rsidR="00C21A35">
          <w:rPr>
            <w:noProof/>
          </w:rPr>
          <w:fldChar w:fldCharType="end"/>
        </w:r>
      </w:sdtContent>
    </w:sdt>
  </w:p>
  <w:p w14:paraId="15F83A38" w14:textId="77777777" w:rsidR="00F07243" w:rsidRDefault="00F07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B5E14" w14:textId="143ED28E" w:rsidR="00F07243" w:rsidRDefault="00714BFF">
    <w:pPr>
      <w:pStyle w:val="Header"/>
      <w:jc w:val="right"/>
    </w:pPr>
    <w:r>
      <w:t xml:space="preserve">Surname    </w:t>
    </w:r>
    <w:sdt>
      <w:sdtPr>
        <w:id w:val="1879498368"/>
        <w:docPartObj>
          <w:docPartGallery w:val="Page Numbers (Top of Page)"/>
          <w:docPartUnique/>
        </w:docPartObj>
      </w:sdtPr>
      <w:sdtEndPr>
        <w:rPr>
          <w:noProof/>
        </w:rPr>
      </w:sdtEndPr>
      <w:sdtContent>
        <w:r w:rsidR="00C21A35">
          <w:fldChar w:fldCharType="begin"/>
        </w:r>
        <w:r w:rsidR="00C21A35">
          <w:instrText xml:space="preserve"> PAGE   \* MERGEFORMAT </w:instrText>
        </w:r>
        <w:r w:rsidR="00C21A35">
          <w:fldChar w:fldCharType="separate"/>
        </w:r>
        <w:r>
          <w:rPr>
            <w:noProof/>
          </w:rPr>
          <w:t>1</w:t>
        </w:r>
        <w:r w:rsidR="00C21A35">
          <w:rPr>
            <w:noProof/>
          </w:rPr>
          <w:fldChar w:fldCharType="end"/>
        </w:r>
      </w:sdtContent>
    </w:sdt>
  </w:p>
  <w:p w14:paraId="5382CAD0" w14:textId="77777777" w:rsidR="00F07243" w:rsidRDefault="00F072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243"/>
    <w:rsid w:val="00004329"/>
    <w:rsid w:val="000142FA"/>
    <w:rsid w:val="000C2E6B"/>
    <w:rsid w:val="00263FE6"/>
    <w:rsid w:val="002F3ED5"/>
    <w:rsid w:val="003272F7"/>
    <w:rsid w:val="00714BFF"/>
    <w:rsid w:val="007F0D0E"/>
    <w:rsid w:val="00855E2B"/>
    <w:rsid w:val="008F60DB"/>
    <w:rsid w:val="00A359CC"/>
    <w:rsid w:val="00AF5A57"/>
    <w:rsid w:val="00C21A35"/>
    <w:rsid w:val="00C43B4C"/>
    <w:rsid w:val="00C83348"/>
    <w:rsid w:val="00F07243"/>
    <w:rsid w:val="00F1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4658D"/>
  <w15:chartTrackingRefBased/>
  <w15:docId w15:val="{CD45F90C-D321-4046-8E74-D1E9F71C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243"/>
  </w:style>
  <w:style w:type="paragraph" w:styleId="Footer">
    <w:name w:val="footer"/>
    <w:basedOn w:val="Normal"/>
    <w:link w:val="FooterChar"/>
    <w:uiPriority w:val="99"/>
    <w:unhideWhenUsed/>
    <w:rsid w:val="00F07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2020-04-06T21:55:00Z</dcterms:created>
  <dcterms:modified xsi:type="dcterms:W3CDTF">2020-04-06T21:57:00Z</dcterms:modified>
</cp:coreProperties>
</file>